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66" w:rsidRPr="00273C66" w:rsidRDefault="00273C66" w:rsidP="0059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right="-308"/>
        <w:jc w:val="both"/>
        <w:rPr>
          <w:rFonts w:ascii="Cambria" w:hAnsi="Cambria" w:cs="Arial"/>
          <w:b/>
          <w:sz w:val="32"/>
          <w:szCs w:val="24"/>
        </w:rPr>
      </w:pPr>
      <w:r w:rsidRPr="00273C66">
        <w:rPr>
          <w:rFonts w:ascii="Cambria" w:hAnsi="Cambria" w:cs="Arial"/>
          <w:b/>
          <w:sz w:val="32"/>
          <w:szCs w:val="24"/>
        </w:rPr>
        <w:t>PROGRAMME</w:t>
      </w:r>
    </w:p>
    <w:p w:rsidR="005931FE" w:rsidRDefault="005931FE" w:rsidP="0059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>RELATIONS I</w:t>
      </w:r>
      <w:r w:rsidR="00F45E6B">
        <w:rPr>
          <w:rFonts w:ascii="Cambria" w:hAnsi="Cambria" w:cs="Arial"/>
          <w:sz w:val="32"/>
          <w:szCs w:val="24"/>
        </w:rPr>
        <w:t>NTERPERSONNELLES ET CONSTRUCTION DU</w:t>
      </w:r>
      <w:r>
        <w:rPr>
          <w:rFonts w:ascii="Cambria" w:hAnsi="Cambria" w:cs="Arial"/>
          <w:sz w:val="32"/>
          <w:szCs w:val="24"/>
        </w:rPr>
        <w:t xml:space="preserve"> SENS </w:t>
      </w:r>
    </w:p>
    <w:p w:rsidR="004905FA" w:rsidRPr="001A3293" w:rsidRDefault="005931FE" w:rsidP="0059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>DANS L</w:t>
      </w:r>
      <w:r w:rsidR="004905FA" w:rsidRPr="001A3293">
        <w:rPr>
          <w:rFonts w:ascii="Cambria" w:hAnsi="Cambria" w:cs="Arial"/>
          <w:sz w:val="32"/>
          <w:szCs w:val="24"/>
        </w:rPr>
        <w:t>’ACCOMPAGNEMENT</w:t>
      </w:r>
    </w:p>
    <w:p w:rsidR="004905FA" w:rsidRPr="001A3293" w:rsidRDefault="004905FA" w:rsidP="00593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ind w:right="-308"/>
        <w:jc w:val="both"/>
        <w:rPr>
          <w:rFonts w:ascii="Cambria" w:hAnsi="Cambria" w:cs="Arial"/>
          <w:sz w:val="32"/>
          <w:szCs w:val="24"/>
        </w:rPr>
      </w:pPr>
      <w:r w:rsidRPr="001A3293">
        <w:rPr>
          <w:rFonts w:ascii="Cambria" w:hAnsi="Cambria" w:cs="Arial"/>
          <w:sz w:val="32"/>
          <w:szCs w:val="24"/>
        </w:rPr>
        <w:t>DU PATIENT EN SOINS PALLIATIFS</w:t>
      </w:r>
    </w:p>
    <w:p w:rsidR="004905FA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 w:rsidRPr="001A3293">
        <w:rPr>
          <w:rFonts w:ascii="Cambria" w:hAnsi="Cambria" w:cs="Arial"/>
          <w:sz w:val="32"/>
          <w:szCs w:val="24"/>
        </w:rPr>
        <w:t>Présentation, tour de table</w:t>
      </w:r>
      <w:r>
        <w:rPr>
          <w:rFonts w:ascii="Cambria" w:hAnsi="Cambria" w:cs="Arial"/>
          <w:sz w:val="32"/>
          <w:szCs w:val="24"/>
        </w:rPr>
        <w:t> : expérience, m</w:t>
      </w:r>
      <w:r w:rsidRPr="001A3293">
        <w:rPr>
          <w:rFonts w:ascii="Cambria" w:hAnsi="Cambria" w:cs="Arial"/>
          <w:sz w:val="32"/>
          <w:szCs w:val="24"/>
        </w:rPr>
        <w:t>otivations, attentes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 w:rsidRPr="001A3293">
        <w:rPr>
          <w:rFonts w:ascii="Cambria" w:hAnsi="Cambria" w:cs="Arial"/>
          <w:sz w:val="32"/>
          <w:szCs w:val="24"/>
        </w:rPr>
        <w:t>Programme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 w:rsidRPr="001A3293">
        <w:rPr>
          <w:rFonts w:ascii="Cambria" w:hAnsi="Cambria" w:cs="Arial"/>
          <w:sz w:val="32"/>
          <w:szCs w:val="24"/>
        </w:rPr>
        <w:t>Règle du groupe</w:t>
      </w:r>
    </w:p>
    <w:p w:rsidR="00F45E6B" w:rsidRDefault="004905FA" w:rsidP="00F45E6B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</w:p>
    <w:p w:rsidR="00F45E6B" w:rsidRPr="00F45E6B" w:rsidRDefault="00F45E6B" w:rsidP="00F45E6B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  <w:r w:rsidRPr="00F45E6B">
        <w:rPr>
          <w:sz w:val="32"/>
          <w:u w:val="single"/>
        </w:rPr>
        <w:t>INTRODUCTION</w:t>
      </w:r>
    </w:p>
    <w:p w:rsidR="00F45E6B" w:rsidRPr="00F45E6B" w:rsidRDefault="00F45E6B" w:rsidP="00F45E6B">
      <w:r>
        <w:rPr>
          <w:rFonts w:ascii="Cambria" w:hAnsi="Cambria" w:cs="Arial"/>
          <w:sz w:val="32"/>
          <w:szCs w:val="24"/>
        </w:rPr>
        <w:t xml:space="preserve">Définitions : </w:t>
      </w:r>
      <w:r w:rsidRPr="001A3293">
        <w:rPr>
          <w:rFonts w:ascii="Cambria" w:hAnsi="Cambria" w:cs="Arial"/>
          <w:sz w:val="32"/>
          <w:szCs w:val="24"/>
        </w:rPr>
        <w:t>soins palliatifs, soin relationnel, accompagnement, écoute</w:t>
      </w:r>
    </w:p>
    <w:p w:rsidR="00F45E6B" w:rsidRPr="00F45E6B" w:rsidRDefault="00F45E6B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 w:rsidRPr="00F45E6B">
        <w:rPr>
          <w:rFonts w:ascii="Cambria" w:hAnsi="Cambria" w:cs="Arial"/>
          <w:sz w:val="32"/>
          <w:szCs w:val="24"/>
        </w:rPr>
        <w:t>Sens et valeur du soin et de la relation dans le modèle des soins palliatifs</w:t>
      </w:r>
    </w:p>
    <w:p w:rsidR="004905FA" w:rsidRPr="00F45E6B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  <w:r w:rsidRPr="001A3293">
        <w:rPr>
          <w:rFonts w:ascii="Cambria" w:hAnsi="Cambria" w:cs="Arial"/>
          <w:sz w:val="32"/>
          <w:szCs w:val="24"/>
          <w:u w:val="single"/>
        </w:rPr>
        <w:t>I COMPRENDRE LE VECU PSYCHIQUE DU PA</w:t>
      </w:r>
      <w:r>
        <w:rPr>
          <w:rFonts w:ascii="Cambria" w:hAnsi="Cambria" w:cs="Arial"/>
          <w:sz w:val="32"/>
          <w:szCs w:val="24"/>
          <w:u w:val="single"/>
        </w:rPr>
        <w:t>TIENT 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1La</w:t>
      </w:r>
      <w:r>
        <w:rPr>
          <w:rFonts w:ascii="Cambria" w:hAnsi="Cambria" w:cs="Arial"/>
          <w:sz w:val="32"/>
          <w:szCs w:val="24"/>
        </w:rPr>
        <w:t xml:space="preserve"> souffrance globale : avoir mal</w:t>
      </w:r>
      <w:r w:rsidRPr="001A3293">
        <w:rPr>
          <w:rFonts w:ascii="Cambria" w:hAnsi="Cambria" w:cs="Arial"/>
          <w:sz w:val="32"/>
          <w:szCs w:val="24"/>
        </w:rPr>
        <w:t>, être mal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2La plainte et la complainte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3La maladie comme blessure narcissique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4L’angoisse de mort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5Le travail de trépas</w:t>
      </w:r>
    </w:p>
    <w:p w:rsidR="004905FA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  <w:r w:rsidRPr="001A3293">
        <w:rPr>
          <w:rFonts w:ascii="Cambria" w:hAnsi="Cambria" w:cs="Arial"/>
          <w:sz w:val="32"/>
          <w:szCs w:val="24"/>
          <w:u w:val="single"/>
        </w:rPr>
        <w:t>II REPERER ET ACCOMPAGNER LES MECANISMES DE DEFENSE INCONSCIENTS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1Les principaux mécanismes</w:t>
      </w:r>
    </w:p>
    <w:p w:rsidR="004905FA" w:rsidRPr="001A3293" w:rsidRDefault="004905FA" w:rsidP="004905FA">
      <w:pPr>
        <w:ind w:right="-308" w:firstLine="7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proofErr w:type="gramStart"/>
      <w:r w:rsidRPr="001A3293">
        <w:rPr>
          <w:rFonts w:ascii="Cambria" w:hAnsi="Cambria" w:cs="Arial"/>
          <w:sz w:val="32"/>
          <w:szCs w:val="24"/>
        </w:rPr>
        <w:t>a</w:t>
      </w:r>
      <w:r>
        <w:rPr>
          <w:rFonts w:ascii="Cambria" w:hAnsi="Cambria" w:cs="Arial"/>
          <w:sz w:val="32"/>
          <w:szCs w:val="24"/>
        </w:rPr>
        <w:t>/</w:t>
      </w:r>
      <w:proofErr w:type="gramEnd"/>
      <w:r w:rsidRPr="001A3293">
        <w:rPr>
          <w:rFonts w:ascii="Cambria" w:hAnsi="Cambria" w:cs="Arial"/>
          <w:sz w:val="32"/>
          <w:szCs w:val="24"/>
        </w:rPr>
        <w:t>le déni ; la dénégation</w:t>
      </w:r>
    </w:p>
    <w:p w:rsidR="004905FA" w:rsidRPr="001A3293" w:rsidRDefault="004905FA" w:rsidP="004905FA">
      <w:pPr>
        <w:ind w:right="-308" w:firstLine="7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proofErr w:type="gramStart"/>
      <w:r w:rsidRPr="001A3293">
        <w:rPr>
          <w:rFonts w:ascii="Cambria" w:hAnsi="Cambria" w:cs="Arial"/>
          <w:sz w:val="32"/>
          <w:szCs w:val="24"/>
        </w:rPr>
        <w:t>b</w:t>
      </w:r>
      <w:r>
        <w:rPr>
          <w:rFonts w:ascii="Cambria" w:hAnsi="Cambria" w:cs="Arial"/>
          <w:sz w:val="32"/>
          <w:szCs w:val="24"/>
        </w:rPr>
        <w:t>/</w:t>
      </w:r>
      <w:proofErr w:type="gramEnd"/>
      <w:r w:rsidRPr="001A3293">
        <w:rPr>
          <w:rFonts w:ascii="Cambria" w:hAnsi="Cambria" w:cs="Arial"/>
          <w:sz w:val="32"/>
          <w:szCs w:val="24"/>
        </w:rPr>
        <w:t>le marchandage ; le besoin d’espoir</w:t>
      </w:r>
    </w:p>
    <w:p w:rsidR="004905FA" w:rsidRPr="001A3293" w:rsidRDefault="004905FA" w:rsidP="004905FA">
      <w:pPr>
        <w:ind w:right="-308" w:firstLine="7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proofErr w:type="gramStart"/>
      <w:r w:rsidRPr="001A3293">
        <w:rPr>
          <w:rFonts w:ascii="Cambria" w:hAnsi="Cambria" w:cs="Arial"/>
          <w:sz w:val="32"/>
          <w:szCs w:val="24"/>
        </w:rPr>
        <w:t>c</w:t>
      </w:r>
      <w:r>
        <w:rPr>
          <w:rFonts w:ascii="Cambria" w:hAnsi="Cambria" w:cs="Arial"/>
          <w:sz w:val="32"/>
          <w:szCs w:val="24"/>
        </w:rPr>
        <w:t>/</w:t>
      </w:r>
      <w:proofErr w:type="gramEnd"/>
      <w:r w:rsidRPr="001A3293">
        <w:rPr>
          <w:rFonts w:ascii="Cambria" w:hAnsi="Cambria" w:cs="Arial"/>
          <w:sz w:val="32"/>
          <w:szCs w:val="24"/>
        </w:rPr>
        <w:t>la colère ; la révolte</w:t>
      </w:r>
    </w:p>
    <w:p w:rsidR="004905FA" w:rsidRPr="001A3293" w:rsidRDefault="004905FA" w:rsidP="004905FA">
      <w:pPr>
        <w:ind w:right="-308" w:firstLine="7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proofErr w:type="gramStart"/>
      <w:r w:rsidRPr="001A3293">
        <w:rPr>
          <w:rFonts w:ascii="Cambria" w:hAnsi="Cambria" w:cs="Arial"/>
          <w:sz w:val="32"/>
          <w:szCs w:val="24"/>
        </w:rPr>
        <w:t>d</w:t>
      </w:r>
      <w:r>
        <w:rPr>
          <w:rFonts w:ascii="Cambria" w:hAnsi="Cambria" w:cs="Arial"/>
          <w:sz w:val="32"/>
          <w:szCs w:val="24"/>
        </w:rPr>
        <w:t>/</w:t>
      </w:r>
      <w:proofErr w:type="gramEnd"/>
      <w:r w:rsidRPr="001A3293">
        <w:rPr>
          <w:rFonts w:ascii="Cambria" w:hAnsi="Cambria" w:cs="Arial"/>
          <w:sz w:val="32"/>
          <w:szCs w:val="24"/>
        </w:rPr>
        <w:t>la dépression</w:t>
      </w:r>
    </w:p>
    <w:p w:rsidR="004905FA" w:rsidRPr="001A3293" w:rsidRDefault="004905FA" w:rsidP="004905FA">
      <w:pPr>
        <w:ind w:right="-308" w:firstLine="7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proofErr w:type="gramStart"/>
      <w:r w:rsidRPr="001A3293">
        <w:rPr>
          <w:rFonts w:ascii="Cambria" w:hAnsi="Cambria" w:cs="Arial"/>
          <w:sz w:val="32"/>
          <w:szCs w:val="24"/>
        </w:rPr>
        <w:t>e</w:t>
      </w:r>
      <w:r>
        <w:rPr>
          <w:rFonts w:ascii="Cambria" w:hAnsi="Cambria" w:cs="Arial"/>
          <w:sz w:val="32"/>
          <w:szCs w:val="24"/>
        </w:rPr>
        <w:t>/</w:t>
      </w:r>
      <w:proofErr w:type="gramEnd"/>
      <w:r w:rsidRPr="001A3293">
        <w:rPr>
          <w:rFonts w:ascii="Cambria" w:hAnsi="Cambria" w:cs="Arial"/>
          <w:sz w:val="32"/>
          <w:szCs w:val="24"/>
        </w:rPr>
        <w:t>l’acceptation, la résignation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2Ateliers d’écoute</w:t>
      </w:r>
    </w:p>
    <w:p w:rsidR="004905FA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  <w:u w:val="single"/>
        </w:rPr>
      </w:pPr>
      <w:r w:rsidRPr="001A3293">
        <w:rPr>
          <w:rFonts w:ascii="Cambria" w:hAnsi="Cambria" w:cs="Arial"/>
          <w:sz w:val="32"/>
          <w:szCs w:val="24"/>
          <w:u w:val="single"/>
        </w:rPr>
        <w:t>IIIPARTICULARITE DE L’ACCOMPAGNEMENT DU PATIENT DANS LE COMA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1l’expérience interne du sujet</w:t>
      </w:r>
    </w:p>
    <w:p w:rsidR="004905FA" w:rsidRPr="001A3293" w:rsidRDefault="004905FA" w:rsidP="004905FA">
      <w:pPr>
        <w:ind w:right="-308"/>
        <w:jc w:val="both"/>
        <w:rPr>
          <w:rFonts w:ascii="Cambria" w:hAnsi="Cambria" w:cs="Arial"/>
          <w:sz w:val="32"/>
          <w:szCs w:val="24"/>
        </w:rPr>
      </w:pPr>
      <w:r>
        <w:rPr>
          <w:rFonts w:ascii="Cambria" w:hAnsi="Cambria" w:cs="Arial"/>
          <w:sz w:val="32"/>
          <w:szCs w:val="24"/>
        </w:rPr>
        <w:tab/>
      </w:r>
      <w:r w:rsidRPr="001A3293">
        <w:rPr>
          <w:rFonts w:ascii="Cambria" w:hAnsi="Cambria" w:cs="Arial"/>
          <w:sz w:val="32"/>
          <w:szCs w:val="24"/>
        </w:rPr>
        <w:t>2l’environnement</w:t>
      </w:r>
    </w:p>
    <w:p w:rsidR="004905FA" w:rsidRDefault="004905FA" w:rsidP="004905FA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  <w:u w:val="single"/>
        </w:rPr>
      </w:pPr>
    </w:p>
    <w:p w:rsidR="004905FA" w:rsidRPr="001A3293" w:rsidRDefault="004905FA" w:rsidP="004905FA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  <w:u w:val="single"/>
        </w:rPr>
      </w:pPr>
      <w:r w:rsidRPr="001A3293">
        <w:rPr>
          <w:rFonts w:ascii="Cambria" w:eastAsia="Batang" w:hAnsi="Cambria" w:cs="Arial"/>
          <w:sz w:val="32"/>
          <w:szCs w:val="24"/>
          <w:u w:val="single"/>
        </w:rPr>
        <w:t xml:space="preserve">IV GROUPE D’ANALYSE DES PRATIQUES </w:t>
      </w:r>
    </w:p>
    <w:p w:rsidR="004905FA" w:rsidRPr="001A3293" w:rsidRDefault="004905FA" w:rsidP="004905FA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  <w:u w:val="single"/>
        </w:rPr>
      </w:pPr>
      <w:r w:rsidRPr="001A3293">
        <w:rPr>
          <w:rFonts w:ascii="Cambria" w:eastAsia="Batang" w:hAnsi="Cambria" w:cs="Arial"/>
          <w:sz w:val="32"/>
          <w:szCs w:val="24"/>
          <w:u w:val="single"/>
        </w:rPr>
        <w:t>V DOCUMENTAIRE</w:t>
      </w:r>
    </w:p>
    <w:p w:rsidR="00F45E6B" w:rsidRDefault="004905FA" w:rsidP="00273C66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  <w:u w:val="single"/>
        </w:rPr>
      </w:pPr>
      <w:r w:rsidRPr="001A3293">
        <w:rPr>
          <w:rFonts w:ascii="Cambria" w:eastAsia="Batang" w:hAnsi="Cambria" w:cs="Arial"/>
          <w:sz w:val="32"/>
          <w:szCs w:val="24"/>
          <w:u w:val="single"/>
        </w:rPr>
        <w:t>CONCLUSION</w:t>
      </w:r>
    </w:p>
    <w:p w:rsidR="00F45E6B" w:rsidRPr="00F45E6B" w:rsidRDefault="00F45E6B" w:rsidP="00273C66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</w:rPr>
      </w:pPr>
      <w:r w:rsidRPr="00F45E6B">
        <w:rPr>
          <w:rFonts w:ascii="Cambria" w:eastAsia="Batang" w:hAnsi="Cambria" w:cs="Arial"/>
          <w:sz w:val="32"/>
          <w:szCs w:val="24"/>
        </w:rPr>
        <w:t>Recherche et construction du sens</w:t>
      </w:r>
    </w:p>
    <w:p w:rsidR="00F45E6B" w:rsidRDefault="00F45E6B" w:rsidP="00273C66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</w:rPr>
      </w:pPr>
      <w:r w:rsidRPr="00F45E6B">
        <w:rPr>
          <w:rFonts w:ascii="Cambria" w:eastAsia="Batang" w:hAnsi="Cambria" w:cs="Arial"/>
          <w:sz w:val="32"/>
          <w:szCs w:val="24"/>
        </w:rPr>
        <w:t>Notre rapport à la mortalité</w:t>
      </w:r>
    </w:p>
    <w:p w:rsidR="00F45E6B" w:rsidRPr="00F45E6B" w:rsidRDefault="00F45E6B" w:rsidP="00273C66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</w:rPr>
      </w:pPr>
    </w:p>
    <w:p w:rsidR="00F31103" w:rsidRPr="00273C66" w:rsidRDefault="004905FA" w:rsidP="00273C66">
      <w:pPr>
        <w:pStyle w:val="Corpsdetexte"/>
        <w:ind w:right="-308"/>
        <w:jc w:val="both"/>
        <w:rPr>
          <w:rFonts w:ascii="Cambria" w:eastAsia="Batang" w:hAnsi="Cambria" w:cs="Arial"/>
          <w:sz w:val="32"/>
          <w:szCs w:val="24"/>
          <w:u w:val="single"/>
        </w:rPr>
      </w:pPr>
      <w:r w:rsidRPr="001A3293">
        <w:rPr>
          <w:rFonts w:ascii="Cambria" w:eastAsia="Batang" w:hAnsi="Cambria" w:cs="Arial"/>
          <w:sz w:val="32"/>
          <w:szCs w:val="24"/>
          <w:u w:val="single"/>
        </w:rPr>
        <w:t>BILAN</w:t>
      </w:r>
    </w:p>
    <w:p w:rsidR="00550BF1" w:rsidRPr="00521B6C" w:rsidRDefault="00550BF1" w:rsidP="00550BF1">
      <w:pPr>
        <w:ind w:right="-308"/>
        <w:jc w:val="both"/>
        <w:rPr>
          <w:rFonts w:asciiTheme="minorHAnsi" w:hAnsiTheme="minorHAnsi" w:cs="Arial"/>
          <w:sz w:val="32"/>
          <w:szCs w:val="24"/>
        </w:rPr>
      </w:pPr>
    </w:p>
    <w:p w:rsidR="00502978" w:rsidRPr="00273C66" w:rsidRDefault="00502978" w:rsidP="00273C66">
      <w:pPr>
        <w:ind w:right="-308"/>
        <w:jc w:val="both"/>
        <w:rPr>
          <w:rFonts w:asciiTheme="minorHAnsi" w:hAnsiTheme="minorHAnsi" w:cs="Arial"/>
          <w:sz w:val="32"/>
          <w:szCs w:val="24"/>
        </w:rPr>
      </w:pPr>
      <w:r w:rsidRPr="0032228C">
        <w:rPr>
          <w:rFonts w:ascii="Cambria" w:hAnsi="Cambria"/>
          <w:b/>
          <w:sz w:val="32"/>
        </w:rPr>
        <w:t>OBJECTIFS</w:t>
      </w:r>
    </w:p>
    <w:p w:rsidR="00F31103" w:rsidRDefault="00F31103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Améliorer ses capacités d’écoute et de présence au patient en soins palliatif</w:t>
      </w:r>
      <w:r w:rsidR="00D51F51">
        <w:rPr>
          <w:rFonts w:ascii="Cambria" w:hAnsi="Cambria"/>
          <w:sz w:val="32"/>
        </w:rPr>
        <w:t>s</w:t>
      </w:r>
    </w:p>
    <w:p w:rsidR="00502978" w:rsidRPr="0032228C" w:rsidRDefault="00F31103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Acquérir des connaissances en psychologie du sujet en soins palliatifs</w:t>
      </w:r>
      <w:r w:rsidR="00D51F51">
        <w:rPr>
          <w:rFonts w:ascii="Cambria" w:hAnsi="Cambria"/>
          <w:sz w:val="32"/>
        </w:rPr>
        <w:t xml:space="preserve"> en prenant en compte les processus inconscients</w:t>
      </w:r>
    </w:p>
    <w:p w:rsidR="00502978" w:rsidRPr="0032228C" w:rsidRDefault="00502978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S’interroger sur son désir </w:t>
      </w:r>
      <w:r w:rsidR="00F31103">
        <w:rPr>
          <w:rFonts w:ascii="Cambria" w:hAnsi="Cambria"/>
          <w:sz w:val="32"/>
        </w:rPr>
        <w:t>d’accompagner le patient</w:t>
      </w:r>
    </w:p>
    <w:p w:rsidR="00502978" w:rsidRPr="0032228C" w:rsidRDefault="00502978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Entreprendre un travail d’introspection, à partir de ses propres expériences, </w:t>
      </w:r>
      <w:r w:rsidR="00F31103">
        <w:rPr>
          <w:rFonts w:ascii="Cambria" w:hAnsi="Cambria"/>
          <w:sz w:val="32"/>
        </w:rPr>
        <w:t>de ce qui se passe dans la relation entre le patient et l’accompagnant</w:t>
      </w:r>
    </w:p>
    <w:p w:rsidR="00F45E6B" w:rsidRDefault="00502978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Faire du lien </w:t>
      </w:r>
      <w:r w:rsidR="00F31103">
        <w:rPr>
          <w:rFonts w:ascii="Cambria" w:hAnsi="Cambria"/>
          <w:sz w:val="32"/>
        </w:rPr>
        <w:t xml:space="preserve">entre la </w:t>
      </w:r>
      <w:r w:rsidR="00D51F51">
        <w:rPr>
          <w:rFonts w:ascii="Cambria" w:hAnsi="Cambria"/>
          <w:sz w:val="32"/>
        </w:rPr>
        <w:t>théorie et l’expérience de la relation interpersonnelle</w:t>
      </w:r>
    </w:p>
    <w:p w:rsidR="00502978" w:rsidRPr="00D51F51" w:rsidRDefault="00F45E6B" w:rsidP="00502978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Rechercher et construire un sens personnel à accompagner les patients en soins palliatifs, en interrogeant son implication et ses valeurs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PUBLIC 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- formation professionnelle continue / personnelle :</w:t>
      </w:r>
    </w:p>
    <w:p w:rsidR="00273C66" w:rsidRDefault="00D51F51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p</w:t>
      </w:r>
      <w:r w:rsidR="00F31103">
        <w:rPr>
          <w:rFonts w:ascii="Cambria" w:hAnsi="Cambria"/>
          <w:sz w:val="32"/>
        </w:rPr>
        <w:t xml:space="preserve">our toute personne intéressé(e) </w:t>
      </w:r>
    </w:p>
    <w:p w:rsidR="00D51F51" w:rsidRDefault="00F31103" w:rsidP="00502978">
      <w:pPr>
        <w:jc w:val="both"/>
        <w:rPr>
          <w:rFonts w:ascii="Cambria" w:hAnsi="Cambria"/>
          <w:sz w:val="32"/>
        </w:rPr>
      </w:pPr>
      <w:proofErr w:type="gramStart"/>
      <w:r>
        <w:rPr>
          <w:rFonts w:ascii="Cambria" w:hAnsi="Cambria"/>
          <w:sz w:val="32"/>
        </w:rPr>
        <w:t>par</w:t>
      </w:r>
      <w:proofErr w:type="gramEnd"/>
      <w:r>
        <w:rPr>
          <w:rFonts w:ascii="Cambria" w:hAnsi="Cambria"/>
          <w:sz w:val="32"/>
        </w:rPr>
        <w:t xml:space="preserve"> ce sujet, </w:t>
      </w:r>
    </w:p>
    <w:p w:rsidR="00D51F51" w:rsidRDefault="00F31103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professionnel(le) ou bénévole, </w:t>
      </w:r>
    </w:p>
    <w:p w:rsidR="00F31103" w:rsidRDefault="00502978" w:rsidP="00502978">
      <w:pPr>
        <w:jc w:val="both"/>
        <w:rPr>
          <w:rFonts w:ascii="Cambria" w:hAnsi="Cambria"/>
          <w:sz w:val="32"/>
        </w:rPr>
      </w:pPr>
      <w:proofErr w:type="gramStart"/>
      <w:r w:rsidRPr="0032228C">
        <w:rPr>
          <w:rFonts w:ascii="Cambria" w:hAnsi="Cambria"/>
          <w:sz w:val="32"/>
        </w:rPr>
        <w:t>ayant</w:t>
      </w:r>
      <w:proofErr w:type="gramEnd"/>
      <w:r w:rsidRPr="0032228C">
        <w:rPr>
          <w:rFonts w:ascii="Cambria" w:hAnsi="Cambria"/>
          <w:sz w:val="32"/>
        </w:rPr>
        <w:t xml:space="preserve"> déjà une expérience </w:t>
      </w:r>
      <w:r w:rsidR="00F31103">
        <w:rPr>
          <w:rFonts w:ascii="Cambria" w:hAnsi="Cambria"/>
          <w:sz w:val="32"/>
        </w:rPr>
        <w:t>en soins palliatifs</w:t>
      </w:r>
      <w:r w:rsidR="00273C66">
        <w:rPr>
          <w:rFonts w:ascii="Cambria" w:hAnsi="Cambria"/>
          <w:sz w:val="32"/>
        </w:rPr>
        <w:t> ;</w:t>
      </w:r>
      <w:r w:rsidRPr="0032228C">
        <w:rPr>
          <w:rFonts w:ascii="Cambria" w:hAnsi="Cambria"/>
          <w:sz w:val="32"/>
        </w:rPr>
        <w:t xml:space="preserve"> 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proofErr w:type="gramStart"/>
      <w:r w:rsidRPr="0032228C">
        <w:rPr>
          <w:rFonts w:ascii="Cambria" w:hAnsi="Cambria"/>
          <w:sz w:val="32"/>
        </w:rPr>
        <w:t>et</w:t>
      </w:r>
      <w:proofErr w:type="gramEnd"/>
      <w:r w:rsidRPr="0032228C">
        <w:rPr>
          <w:rFonts w:ascii="Cambria" w:hAnsi="Cambria"/>
          <w:sz w:val="32"/>
        </w:rPr>
        <w:t xml:space="preserve"> par une démarche de réflexion, ainsi que d’introspection (réflexion sur sa pratique professionnelle</w:t>
      </w:r>
      <w:r w:rsidR="00D51F51">
        <w:rPr>
          <w:rFonts w:ascii="Cambria" w:hAnsi="Cambria"/>
          <w:sz w:val="32"/>
        </w:rPr>
        <w:t xml:space="preserve">/bénévole et </w:t>
      </w:r>
      <w:r w:rsidRPr="0032228C">
        <w:rPr>
          <w:rFonts w:ascii="Cambria" w:hAnsi="Cambria"/>
          <w:sz w:val="32"/>
        </w:rPr>
        <w:t>son expérience personnelle)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Animée par</w:t>
      </w:r>
      <w:r w:rsidRPr="0032228C">
        <w:rPr>
          <w:rFonts w:ascii="Cambria" w:hAnsi="Cambria"/>
          <w:sz w:val="32"/>
        </w:rPr>
        <w:t xml:space="preserve"> Emmanuelle Ruck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Psychologue clinicienne, psychothérapeute d’orientation psychanalytique, </w:t>
      </w:r>
      <w:r>
        <w:rPr>
          <w:rFonts w:ascii="Cambria" w:hAnsi="Cambria"/>
          <w:sz w:val="32"/>
        </w:rPr>
        <w:t>d</w:t>
      </w:r>
      <w:r w:rsidRPr="0032228C">
        <w:rPr>
          <w:rFonts w:ascii="Cambria" w:hAnsi="Cambria"/>
          <w:sz w:val="32"/>
        </w:rPr>
        <w:t>iplômée de l’</w:t>
      </w:r>
      <w:r>
        <w:rPr>
          <w:rFonts w:ascii="Cambria" w:hAnsi="Cambria"/>
          <w:sz w:val="32"/>
        </w:rPr>
        <w:t>U</w:t>
      </w:r>
      <w:r w:rsidRPr="0032228C">
        <w:rPr>
          <w:rFonts w:ascii="Cambria" w:hAnsi="Cambria"/>
          <w:sz w:val="32"/>
        </w:rPr>
        <w:t>niversité de Strasbourg</w:t>
      </w:r>
      <w:r w:rsidR="00F31103">
        <w:rPr>
          <w:rFonts w:ascii="Cambria" w:hAnsi="Cambria"/>
          <w:sz w:val="32"/>
        </w:rPr>
        <w:t>, DU de Soins palliatifs</w:t>
      </w:r>
      <w:r w:rsidR="00273C66">
        <w:rPr>
          <w:rFonts w:ascii="Cambria" w:hAnsi="Cambria"/>
          <w:sz w:val="32"/>
        </w:rPr>
        <w:t>, Maîtrise de théologie niveau DEA</w:t>
      </w:r>
    </w:p>
    <w:p w:rsidR="00502978" w:rsidRPr="0032228C" w:rsidRDefault="00502978" w:rsidP="00502978">
      <w:pPr>
        <w:jc w:val="both"/>
        <w:rPr>
          <w:rFonts w:ascii="Cambria" w:hAnsi="Cambria"/>
          <w:b/>
          <w:sz w:val="32"/>
        </w:rPr>
      </w:pPr>
      <w:r w:rsidRPr="0032228C">
        <w:rPr>
          <w:rFonts w:ascii="Cambria" w:hAnsi="Cambria"/>
          <w:b/>
          <w:sz w:val="32"/>
        </w:rPr>
        <w:t>FORMES PEDAGOGIQUES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Exposés théoriques ; échanges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Travail de réflexion et d’introspection personnelles et en sous-groupes</w:t>
      </w:r>
    </w:p>
    <w:p w:rsidR="00D51F51" w:rsidRDefault="00F31103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Analyse des pratiques</w:t>
      </w:r>
      <w:r w:rsidR="00502978" w:rsidRPr="0032228C">
        <w:rPr>
          <w:rFonts w:ascii="Cambria" w:hAnsi="Cambria"/>
          <w:sz w:val="32"/>
        </w:rPr>
        <w:t xml:space="preserve"> autour de situations apportées par les participants</w:t>
      </w:r>
    </w:p>
    <w:p w:rsidR="00F45E6B" w:rsidRDefault="00F45E6B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Groupe limité à 10 participants pour des questions de pédagogie et de psychologie de groupe, afin de garantir à chacun un temps d’expression centrée sur sa propre expérience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Il est demandé à l’institution que le participant s’inscrive sur motivation, et qu’il respecte les règles d’écoute et de respect d’autrui dans le groupe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Venir avec de quoi écrire (stylo papier) et surligner (feutres fluo/couleur)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HORAIRES</w:t>
      </w:r>
      <w:r w:rsidRPr="0032228C">
        <w:rPr>
          <w:rFonts w:ascii="Cambria" w:hAnsi="Cambria"/>
          <w:sz w:val="32"/>
        </w:rPr>
        <w:t xml:space="preserve"> 9h-17h dont pauses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LIEU</w:t>
      </w:r>
      <w:r w:rsidRPr="0032228C">
        <w:rPr>
          <w:rFonts w:ascii="Cambria" w:hAnsi="Cambria"/>
          <w:sz w:val="32"/>
        </w:rPr>
        <w:t xml:space="preserve"> Salle dans l’institution garantissant la confidentialité, </w:t>
      </w:r>
    </w:p>
    <w:p w:rsidR="00273C66" w:rsidRDefault="00F45E6B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Avec tableau blanc</w:t>
      </w:r>
    </w:p>
    <w:p w:rsidR="00502978" w:rsidRPr="0032228C" w:rsidRDefault="00273C66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Lecteur DVD/clé USB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Tables disposées en U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502978" w:rsidRDefault="00502978" w:rsidP="00502978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TARIFS</w:t>
      </w:r>
      <w:r w:rsidRPr="0032228C">
        <w:rPr>
          <w:rFonts w:ascii="Cambria" w:hAnsi="Cambria"/>
          <w:sz w:val="32"/>
        </w:rPr>
        <w:t xml:space="preserve"> 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Nous consulter</w:t>
      </w:r>
    </w:p>
    <w:p w:rsidR="00502978" w:rsidRPr="0032228C" w:rsidRDefault="00502978" w:rsidP="00502978">
      <w:pPr>
        <w:jc w:val="both"/>
        <w:rPr>
          <w:rFonts w:ascii="Cambria" w:hAnsi="Cambria"/>
          <w:sz w:val="32"/>
        </w:rPr>
      </w:pPr>
    </w:p>
    <w:p w:rsidR="00DB2ED6" w:rsidRDefault="00F45E6B" w:rsidP="00550BF1"/>
    <w:sectPr w:rsidR="00DB2ED6" w:rsidSect="00DB2ED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0340"/>
    <w:multiLevelType w:val="hybridMultilevel"/>
    <w:tmpl w:val="D2B4D58C"/>
    <w:lvl w:ilvl="0" w:tplc="11BE0A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0BF1"/>
    <w:rsid w:val="000C2BCF"/>
    <w:rsid w:val="0021170A"/>
    <w:rsid w:val="00273C66"/>
    <w:rsid w:val="004905FA"/>
    <w:rsid w:val="00492540"/>
    <w:rsid w:val="00502978"/>
    <w:rsid w:val="00521B6C"/>
    <w:rsid w:val="00550BF1"/>
    <w:rsid w:val="005931FE"/>
    <w:rsid w:val="009D1034"/>
    <w:rsid w:val="00A25BCA"/>
    <w:rsid w:val="00D51F51"/>
    <w:rsid w:val="00D87B15"/>
    <w:rsid w:val="00EA58F5"/>
    <w:rsid w:val="00EB2D28"/>
    <w:rsid w:val="00F31103"/>
    <w:rsid w:val="00F45E6B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BF1"/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0B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550BF1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paragraph" w:styleId="Corpsdetexte">
    <w:name w:val="Body Text"/>
    <w:basedOn w:val="Normal"/>
    <w:link w:val="CorpsdetexteCar"/>
    <w:rsid w:val="00550BF1"/>
    <w:pPr>
      <w:tabs>
        <w:tab w:val="left" w:pos="2880"/>
        <w:tab w:val="left" w:pos="4140"/>
      </w:tabs>
    </w:pPr>
    <w:rPr>
      <w:rFonts w:ascii="Arial" w:hAnsi="Arial"/>
      <w:sz w:val="22"/>
    </w:rPr>
  </w:style>
  <w:style w:type="character" w:customStyle="1" w:styleId="CorpsdetexteCar">
    <w:name w:val="Corps de texte Car"/>
    <w:basedOn w:val="Policepardfaut"/>
    <w:link w:val="Corpsdetexte"/>
    <w:rsid w:val="00550BF1"/>
    <w:rPr>
      <w:rFonts w:ascii="Arial" w:eastAsia="Times New Roman" w:hAnsi="Arial" w:cs="Times New Roman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02978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436</Words>
  <Characters>2490</Characters>
  <Application>Microsoft Macintosh Word</Application>
  <DocSecurity>0</DocSecurity>
  <Lines>20</Lines>
  <Paragraphs>4</Paragraphs>
  <ScaleCrop>false</ScaleCrop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ruck</dc:creator>
  <cp:keywords/>
  <cp:lastModifiedBy>emmanuelle ruck</cp:lastModifiedBy>
  <cp:revision>4</cp:revision>
  <dcterms:created xsi:type="dcterms:W3CDTF">2015-08-20T15:06:00Z</dcterms:created>
  <dcterms:modified xsi:type="dcterms:W3CDTF">2015-10-18T15:19:00Z</dcterms:modified>
</cp:coreProperties>
</file>